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5C" w:rsidRDefault="00DD605C" w:rsidP="00DD60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 440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LECTURE 1</w:t>
      </w:r>
      <w:r w:rsidR="004D2F65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DD605C" w:rsidRDefault="00A6058A" w:rsidP="00DD605C">
      <w:pPr>
        <w:jc w:val="center"/>
        <w:rPr>
          <w:rFonts w:ascii="Arial" w:hAnsi="Arial" w:cs="Arial"/>
          <w:b/>
          <w:bCs/>
          <w:i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aps/>
          <w:sz w:val="20"/>
          <w:szCs w:val="20"/>
          <w:u w:val="single"/>
        </w:rPr>
        <w:t>risk &amp; capital budgeting</w:t>
      </w:r>
    </w:p>
    <w:p w:rsidR="00DD605C" w:rsidRDefault="00DD605C" w:rsidP="00DD60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CHAPTER REFERENCE – CHP </w:t>
      </w:r>
      <w:r w:rsidR="00A6058A">
        <w:rPr>
          <w:rFonts w:ascii="Arial" w:hAnsi="Arial" w:cs="Arial"/>
          <w:b/>
          <w:sz w:val="20"/>
          <w:szCs w:val="20"/>
          <w:u w:val="single"/>
        </w:rPr>
        <w:t>11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04EDB" w:rsidRPr="00A6058A" w:rsidRDefault="00D04EDB"/>
    <w:p w:rsidR="00DD605C" w:rsidRPr="00A6058A" w:rsidRDefault="00DD605C">
      <w:pPr>
        <w:rPr>
          <w:rFonts w:ascii="Arial" w:hAnsi="Arial" w:cs="Arial"/>
          <w:b/>
          <w:sz w:val="18"/>
          <w:szCs w:val="18"/>
          <w:u w:val="single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 xml:space="preserve">The 3 measures of a projects risk </w:t>
      </w:r>
    </w:p>
    <w:p w:rsidR="00DD605C" w:rsidRPr="00A6058A" w:rsidRDefault="00DD605C" w:rsidP="00DD60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Project stand alone risk</w:t>
      </w:r>
      <w:r w:rsidRPr="00A6058A">
        <w:rPr>
          <w:rFonts w:ascii="Arial" w:hAnsi="Arial" w:cs="Arial"/>
          <w:sz w:val="18"/>
          <w:szCs w:val="18"/>
        </w:rPr>
        <w:t xml:space="preserve"> – risk diversified away within firm as it is combined with the firm’s other projects &amp; assets</w:t>
      </w:r>
    </w:p>
    <w:p w:rsidR="00DD605C" w:rsidRPr="00A6058A" w:rsidRDefault="00DD605C" w:rsidP="00DD60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Project’s contribution-to-firm risk</w:t>
      </w:r>
      <w:r w:rsidRPr="00A6058A">
        <w:rPr>
          <w:rFonts w:ascii="Arial" w:hAnsi="Arial" w:cs="Arial"/>
          <w:sz w:val="18"/>
          <w:szCs w:val="18"/>
        </w:rPr>
        <w:t xml:space="preserve"> – risk diversified away by shareholders as they diversify their investment portfolios</w:t>
      </w:r>
    </w:p>
    <w:p w:rsidR="00DD605C" w:rsidRPr="00A6058A" w:rsidRDefault="00DD605C" w:rsidP="00DD60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Systematic risk</w:t>
      </w:r>
      <w:r w:rsidRPr="00A6058A">
        <w:rPr>
          <w:rFonts w:ascii="Arial" w:hAnsi="Arial" w:cs="Arial"/>
          <w:sz w:val="18"/>
          <w:szCs w:val="18"/>
        </w:rPr>
        <w:t xml:space="preserve"> – market risk, cannot be reduced through diversification</w:t>
      </w:r>
    </w:p>
    <w:p w:rsidR="00DD605C" w:rsidRPr="00A6058A" w:rsidRDefault="00DD605C" w:rsidP="00DD605C">
      <w:pPr>
        <w:rPr>
          <w:rFonts w:ascii="Arial" w:hAnsi="Arial" w:cs="Arial"/>
          <w:sz w:val="18"/>
          <w:szCs w:val="18"/>
        </w:rPr>
      </w:pPr>
    </w:p>
    <w:p w:rsidR="00DD605C" w:rsidRPr="00A6058A" w:rsidRDefault="00DD605C" w:rsidP="00DD605C">
      <w:pPr>
        <w:rPr>
          <w:rFonts w:ascii="Arial" w:hAnsi="Arial" w:cs="Arial"/>
          <w:b/>
          <w:sz w:val="18"/>
          <w:szCs w:val="18"/>
          <w:u w:val="single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>The 2 measures of incorporating risk into capital budgeting</w:t>
      </w:r>
    </w:p>
    <w:p w:rsidR="00DD605C" w:rsidRPr="00A6058A" w:rsidRDefault="00DD605C" w:rsidP="00DD60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Certainty equivalent approach</w:t>
      </w:r>
    </w:p>
    <w:p w:rsidR="00DD605C" w:rsidRPr="00A6058A" w:rsidRDefault="00DD605C" w:rsidP="00DD60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Risk – adjusted discount rate approach</w:t>
      </w:r>
    </w:p>
    <w:p w:rsidR="00DD605C" w:rsidRPr="00A6058A" w:rsidRDefault="00DD605C" w:rsidP="00DD605C">
      <w:pPr>
        <w:rPr>
          <w:rFonts w:ascii="Arial" w:hAnsi="Arial" w:cs="Arial"/>
          <w:sz w:val="18"/>
          <w:szCs w:val="18"/>
        </w:rPr>
      </w:pPr>
    </w:p>
    <w:p w:rsidR="00DD605C" w:rsidRPr="00A6058A" w:rsidRDefault="00DD605C" w:rsidP="00A6058A">
      <w:pPr>
        <w:jc w:val="center"/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>Certainty equivalent approach</w:t>
      </w:r>
      <w:r w:rsidRPr="00A6058A">
        <w:rPr>
          <w:rFonts w:ascii="Arial" w:hAnsi="Arial" w:cs="Arial"/>
          <w:sz w:val="18"/>
          <w:szCs w:val="18"/>
        </w:rPr>
        <w:t xml:space="preserve"> 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sz w:val="18"/>
          <w:szCs w:val="18"/>
        </w:rPr>
        <w:t>involves adjusting the operating cash flows and/or the discount rate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CERTAIN CASH FLOW = RISKY CASH FLOW X CERTAINTY EQUVALENT FACTOR</w:t>
      </w:r>
      <w:r w:rsidRPr="00A6058A">
        <w:rPr>
          <w:rFonts w:ascii="Arial" w:hAnsi="Arial" w:cs="Arial"/>
          <w:sz w:val="18"/>
          <w:szCs w:val="18"/>
        </w:rPr>
        <w:t xml:space="preserve"> (e.g. safe 700 = risky 900 * certainty factor 0.70 )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 xml:space="preserve">The </w:t>
      </w:r>
      <w:r w:rsidRPr="00A6058A">
        <w:rPr>
          <w:rFonts w:ascii="Arial" w:hAnsi="Arial" w:cs="Arial"/>
          <w:bCs/>
          <w:sz w:val="18"/>
          <w:szCs w:val="18"/>
          <w:u w:val="single"/>
        </w:rPr>
        <w:t>greater</w:t>
      </w:r>
      <w:r w:rsidRPr="00A6058A">
        <w:rPr>
          <w:rFonts w:ascii="Arial" w:hAnsi="Arial" w:cs="Arial"/>
          <w:bCs/>
          <w:sz w:val="18"/>
          <w:szCs w:val="18"/>
        </w:rPr>
        <w:t xml:space="preserve"> the risk associated with a particular cash flow, the </w:t>
      </w:r>
      <w:r w:rsidRPr="00A6058A">
        <w:rPr>
          <w:rFonts w:ascii="Arial" w:hAnsi="Arial" w:cs="Arial"/>
          <w:bCs/>
          <w:sz w:val="18"/>
          <w:szCs w:val="18"/>
          <w:u w:val="single"/>
        </w:rPr>
        <w:t>smaller</w:t>
      </w:r>
      <w:r w:rsidRPr="00A6058A">
        <w:rPr>
          <w:rFonts w:ascii="Arial" w:hAnsi="Arial" w:cs="Arial"/>
          <w:bCs/>
          <w:sz w:val="18"/>
          <w:szCs w:val="18"/>
        </w:rPr>
        <w:t xml:space="preserve"> the CE factor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Adjust all after-tax cash flows by certainty equivalent factors to get certain cash flows.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Discount the certain cash flows by the risk-free rate of interest.</w:t>
      </w:r>
    </w:p>
    <w:p w:rsidR="00DD605C" w:rsidRPr="00A6058A" w:rsidRDefault="00DD605C" w:rsidP="00DD605C">
      <w:pPr>
        <w:pStyle w:val="ListParagraph"/>
        <w:rPr>
          <w:rFonts w:ascii="Arial" w:hAnsi="Arial" w:cs="Arial"/>
          <w:sz w:val="18"/>
          <w:szCs w:val="18"/>
        </w:rPr>
      </w:pPr>
    </w:p>
    <w:p w:rsidR="00DD605C" w:rsidRPr="00A6058A" w:rsidRDefault="00A6058A" w:rsidP="00A6058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>Risk adjusted discount rates</w:t>
      </w:r>
    </w:p>
    <w:p w:rsidR="00A6058A" w:rsidRPr="00A6058A" w:rsidRDefault="00A6058A" w:rsidP="00A6058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sz w:val="18"/>
          <w:szCs w:val="18"/>
        </w:rPr>
        <w:t>Involves adjusting the discount rates to reflect higher risk</w:t>
      </w:r>
    </w:p>
    <w:p w:rsidR="005F4471" w:rsidRPr="00A6058A" w:rsidRDefault="00A6058A" w:rsidP="00A6058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Riskier projects will use higher risk-adjusted discount rates.</w:t>
      </w:r>
    </w:p>
    <w:p w:rsidR="005F4471" w:rsidRPr="00A6058A" w:rsidRDefault="00A6058A" w:rsidP="00A6058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Calculate NPV using the new risk-adjusted discount rate.</w:t>
      </w:r>
    </w:p>
    <w:p w:rsidR="00A6058A" w:rsidRPr="00A6058A" w:rsidRDefault="00A6058A" w:rsidP="00A6058A">
      <w:pPr>
        <w:pStyle w:val="ListParagraph"/>
        <w:rPr>
          <w:rFonts w:ascii="Arial" w:hAnsi="Arial" w:cs="Arial"/>
          <w:sz w:val="18"/>
          <w:szCs w:val="18"/>
        </w:rPr>
      </w:pPr>
    </w:p>
    <w:p w:rsidR="005F4471" w:rsidRPr="00A6058A" w:rsidRDefault="00A6058A" w:rsidP="00A6058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How do we determine the appropriate risk-adjusted discount rate (k*) to use?</w:t>
      </w:r>
    </w:p>
    <w:p w:rsidR="00A6058A" w:rsidRPr="00A6058A" w:rsidRDefault="00A6058A" w:rsidP="00A6058A">
      <w:pPr>
        <w:pStyle w:val="ListParagraph"/>
        <w:rPr>
          <w:rFonts w:ascii="Arial" w:hAnsi="Arial" w:cs="Arial"/>
          <w:sz w:val="18"/>
          <w:szCs w:val="18"/>
        </w:rPr>
      </w:pPr>
    </w:p>
    <w:p w:rsidR="005F4471" w:rsidRPr="00A6058A" w:rsidRDefault="00A6058A" w:rsidP="00A6058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 xml:space="preserve">Many firms set up </w:t>
      </w:r>
      <w:r w:rsidRPr="00A6058A">
        <w:rPr>
          <w:rFonts w:ascii="Arial" w:hAnsi="Arial" w:cs="Arial"/>
          <w:bCs/>
          <w:sz w:val="18"/>
          <w:szCs w:val="18"/>
          <w:u w:val="single"/>
        </w:rPr>
        <w:t>risk classes</w:t>
      </w:r>
      <w:r w:rsidRPr="00A6058A">
        <w:rPr>
          <w:rFonts w:ascii="Arial" w:hAnsi="Arial" w:cs="Arial"/>
          <w:bCs/>
          <w:sz w:val="18"/>
          <w:szCs w:val="18"/>
        </w:rPr>
        <w:t xml:space="preserve"> to categorize different types of projects.</w:t>
      </w:r>
    </w:p>
    <w:p w:rsidR="00A6058A" w:rsidRPr="00A6058A" w:rsidRDefault="00A6058A" w:rsidP="00A6058A">
      <w:pPr>
        <w:pStyle w:val="ListParagraph"/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162300" cy="182880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62300" cy="1828800"/>
                      <a:chOff x="419100" y="1295400"/>
                      <a:chExt cx="3162300" cy="1828800"/>
                    </a:xfrm>
                  </a:grpSpPr>
                  <a:sp>
                    <a:nvSpPr>
                      <a:cNvPr id="2181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19100" y="1295400"/>
                        <a:ext cx="3162300" cy="1828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2075" tIns="46038" rIns="92075" bIns="46038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Risk     RADR                    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u="sng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Class</a:t>
                          </a:r>
                          <a:r>
                            <a:rPr lang="en-US" sz="1200" b="1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    </a:t>
                          </a:r>
                          <a:r>
                            <a:rPr lang="en-US" sz="1200" b="1" u="sng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 (k*)     </a:t>
                          </a:r>
                          <a:r>
                            <a:rPr lang="en-US" sz="1200" b="1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              </a:t>
                          </a:r>
                          <a:r>
                            <a:rPr lang="en-US" sz="1200" b="1" u="sng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       Project  Type    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1         12%               Replace equipment,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                          Expand current business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2         14%            Related new products 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3         16%        Unrelated new products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4         24%      Research &amp; Development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6058A" w:rsidRPr="00A6058A" w:rsidRDefault="00A6058A" w:rsidP="00A6058A">
      <w:pPr>
        <w:pStyle w:val="ListParagraph"/>
        <w:rPr>
          <w:rFonts w:ascii="Arial" w:hAnsi="Arial" w:cs="Arial"/>
          <w:sz w:val="18"/>
          <w:szCs w:val="18"/>
        </w:rPr>
      </w:pPr>
    </w:p>
    <w:p w:rsidR="00DD605C" w:rsidRPr="00A6058A" w:rsidRDefault="00A6058A" w:rsidP="00A6058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>SUMMARY – risk &amp; capital budgeting</w:t>
      </w:r>
    </w:p>
    <w:p w:rsidR="00A6058A" w:rsidRPr="00A6058A" w:rsidRDefault="00A6058A" w:rsidP="00A6058A">
      <w:p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 xml:space="preserve">You can adjust your capital budgeting methods for projects having different levels of risk by: 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Adjusting the discount rate used (risk-adjusted discount rate method),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Measuring the project’s systematic risk,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Computer simulation methods,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Scenario analysis,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Sensitivity analysis.</w:t>
      </w:r>
    </w:p>
    <w:p w:rsidR="00A6058A" w:rsidRPr="00A6058A" w:rsidRDefault="00A6058A" w:rsidP="00DD605C"/>
    <w:p w:rsidR="00DD605C" w:rsidRPr="00A6058A" w:rsidRDefault="00DD605C"/>
    <w:sectPr w:rsidR="00DD605C" w:rsidRPr="00A6058A" w:rsidSect="00D0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61"/>
    <w:multiLevelType w:val="hybridMultilevel"/>
    <w:tmpl w:val="02409956"/>
    <w:lvl w:ilvl="0" w:tplc="02CA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2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E9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68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4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A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A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23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F6490"/>
    <w:multiLevelType w:val="hybridMultilevel"/>
    <w:tmpl w:val="2C3C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33BA"/>
    <w:multiLevelType w:val="hybridMultilevel"/>
    <w:tmpl w:val="22E8978E"/>
    <w:lvl w:ilvl="0" w:tplc="9D2C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46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27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8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8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61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C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8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796436"/>
    <w:multiLevelType w:val="hybridMultilevel"/>
    <w:tmpl w:val="7520DB22"/>
    <w:lvl w:ilvl="0" w:tplc="2C30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42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4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84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C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A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4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0F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4B0307"/>
    <w:multiLevelType w:val="hybridMultilevel"/>
    <w:tmpl w:val="AF1C3778"/>
    <w:lvl w:ilvl="0" w:tplc="8C28595C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A5C"/>
    <w:multiLevelType w:val="hybridMultilevel"/>
    <w:tmpl w:val="4874092C"/>
    <w:lvl w:ilvl="0" w:tplc="EB7CB4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3F4"/>
    <w:multiLevelType w:val="hybridMultilevel"/>
    <w:tmpl w:val="C516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12BA"/>
    <w:multiLevelType w:val="hybridMultilevel"/>
    <w:tmpl w:val="001C9C66"/>
    <w:lvl w:ilvl="0" w:tplc="3A509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05C"/>
    <w:rsid w:val="004D2F65"/>
    <w:rsid w:val="005F4471"/>
    <w:rsid w:val="00A6058A"/>
    <w:rsid w:val="00D04EDB"/>
    <w:rsid w:val="00D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0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2014-04-15T03:53:00Z</dcterms:created>
  <dcterms:modified xsi:type="dcterms:W3CDTF">2014-04-15T04:16:00Z</dcterms:modified>
</cp:coreProperties>
</file>